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03" w:rsidRDefault="004D0603">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07592" cy="1325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transparent bk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7592" cy="1325880"/>
                    </a:xfrm>
                    <a:prstGeom prst="rect">
                      <a:avLst/>
                    </a:prstGeom>
                  </pic:spPr>
                </pic:pic>
              </a:graphicData>
            </a:graphic>
            <wp14:sizeRelH relativeFrom="margin">
              <wp14:pctWidth>0</wp14:pctWidth>
            </wp14:sizeRelH>
            <wp14:sizeRelV relativeFrom="margin">
              <wp14:pctHeight>0</wp14:pctHeight>
            </wp14:sizeRelV>
          </wp:anchor>
        </w:drawing>
      </w:r>
      <w:r w:rsidR="007B1D19">
        <w:t xml:space="preserve"> </w:t>
      </w:r>
    </w:p>
    <w:p w:rsidR="00637981" w:rsidRDefault="003F2977" w:rsidP="004D0603">
      <w:pPr>
        <w:pStyle w:val="Heading1"/>
        <w:rPr>
          <w:b/>
          <w:color w:val="1F4E79" w:themeColor="accent1" w:themeShade="80"/>
          <w14:textOutline w14:w="0" w14:cap="flat" w14:cmpd="sng" w14:algn="ctr">
            <w14:noFill/>
            <w14:prstDash w14:val="solid"/>
            <w14:round/>
          </w14:textOutline>
        </w:rPr>
      </w:pPr>
      <w:r w:rsidRPr="004D0603">
        <w:rPr>
          <w:b/>
          <w:color w:val="1F4E79" w:themeColor="accent1" w:themeShade="80"/>
          <w14:textOutline w14:w="0" w14:cap="flat" w14:cmpd="sng" w14:algn="ctr">
            <w14:noFill/>
            <w14:prstDash w14:val="solid"/>
            <w14:round/>
          </w14:textOutline>
        </w:rPr>
        <w:t>Planning and Zoning Fee Schedule</w:t>
      </w:r>
    </w:p>
    <w:p w:rsidR="004D0603" w:rsidRDefault="004D0603" w:rsidP="004D0603"/>
    <w:p w:rsidR="004D0603" w:rsidRDefault="004D0603" w:rsidP="004D0603"/>
    <w:p w:rsidR="004D0603" w:rsidRDefault="004D0603" w:rsidP="004D0603"/>
    <w:p w:rsidR="004D0603" w:rsidRPr="004D0603" w:rsidRDefault="004D0603" w:rsidP="004D0603"/>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5400"/>
        <w:gridCol w:w="1170"/>
        <w:gridCol w:w="2070"/>
      </w:tblGrid>
      <w:tr w:rsidR="004D0603" w:rsidRPr="002244C7" w:rsidTr="004D0603">
        <w:trPr>
          <w:trHeight w:val="311"/>
        </w:trPr>
        <w:tc>
          <w:tcPr>
            <w:tcW w:w="823" w:type="dxa"/>
          </w:tcPr>
          <w:p w:rsidR="004D0603" w:rsidRPr="004D0603" w:rsidRDefault="004D0603" w:rsidP="004D0603">
            <w:pPr>
              <w:pStyle w:val="Heading2"/>
              <w:rPr>
                <w:sz w:val="24"/>
              </w:rPr>
            </w:pPr>
            <w:r w:rsidRPr="004D0603">
              <w:rPr>
                <w:sz w:val="24"/>
              </w:rPr>
              <w:t>Item#</w:t>
            </w:r>
          </w:p>
        </w:tc>
        <w:tc>
          <w:tcPr>
            <w:tcW w:w="5400" w:type="dxa"/>
          </w:tcPr>
          <w:p w:rsidR="004D0603" w:rsidRPr="004D0603" w:rsidRDefault="004D0603" w:rsidP="004D0603">
            <w:pPr>
              <w:pStyle w:val="Heading2"/>
              <w:rPr>
                <w:sz w:val="24"/>
              </w:rPr>
            </w:pPr>
            <w:r w:rsidRPr="004D0603">
              <w:rPr>
                <w:sz w:val="24"/>
              </w:rPr>
              <w:t>Description</w:t>
            </w:r>
          </w:p>
        </w:tc>
        <w:tc>
          <w:tcPr>
            <w:tcW w:w="1170" w:type="dxa"/>
          </w:tcPr>
          <w:p w:rsidR="004D0603" w:rsidRPr="004D0603" w:rsidRDefault="004D0603" w:rsidP="004D0603">
            <w:pPr>
              <w:pStyle w:val="Heading2"/>
              <w:rPr>
                <w:sz w:val="24"/>
              </w:rPr>
            </w:pPr>
            <w:r w:rsidRPr="004D0603">
              <w:rPr>
                <w:sz w:val="24"/>
              </w:rPr>
              <w:t>Amount</w:t>
            </w:r>
          </w:p>
        </w:tc>
        <w:tc>
          <w:tcPr>
            <w:tcW w:w="2070" w:type="dxa"/>
          </w:tcPr>
          <w:p w:rsidR="004D0603" w:rsidRPr="004D0603" w:rsidRDefault="004D0603" w:rsidP="004D0603">
            <w:pPr>
              <w:pStyle w:val="Heading2"/>
              <w:rPr>
                <w:sz w:val="24"/>
              </w:rPr>
            </w:pPr>
            <w:r w:rsidRPr="004D0603">
              <w:rPr>
                <w:sz w:val="24"/>
              </w:rPr>
              <w:t>Unit</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261</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Application for Zoning Change (Base Fee) (Base + Variable)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Application</w:t>
            </w:r>
          </w:p>
        </w:tc>
      </w:tr>
      <w:tr w:rsidR="003F2977" w:rsidRPr="002244C7" w:rsidTr="004D0603">
        <w:trPr>
          <w:trHeight w:val="312"/>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262</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Application for Specific Use Permit (Base Fee) (Base + Variable)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 xml:space="preserve">Per Application </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263</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Application for Site Plan approval (Base Fee) (Base + Variable)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Application</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264</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Application for Site Plan Amendments (Base Fee) (Base + Variable)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 xml:space="preserve">Per Application </w:t>
            </w:r>
          </w:p>
        </w:tc>
      </w:tr>
      <w:tr w:rsidR="003F2977" w:rsidRPr="002244C7" w:rsidTr="004D0603">
        <w:trPr>
          <w:trHeight w:val="312"/>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265</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Specific Use Permit Renewal (Base Fee) (Base + Variable)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$100.00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Permit</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266</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Application fee for Amendment to Zoning Ordinance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Amendment</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267</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Variances Requests (ZBA)(Base Fee) (Base + Variable)</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$150.00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 xml:space="preserve">Per Application </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268</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Historic District Certificate of Appropriateness</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$75.00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Applicant</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269</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Subdivision Plats – preliminary (Base Fee) (Base + Variable Deposit)</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$100.00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Plat</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270</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Subdivision Plats – final (Base Fee) (Base + Variable Deposit)</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 xml:space="preserve">Per Plat </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271</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Subdivision Plats – re-approval (Base Fee) (Base + Variable Deposit)</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$100.00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Re-approval</w:t>
            </w:r>
          </w:p>
        </w:tc>
      </w:tr>
      <w:tr w:rsidR="003F2977" w:rsidRPr="002244C7" w:rsidTr="004D0603">
        <w:trPr>
          <w:trHeight w:val="312"/>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272</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Subdivision Replats (Base Fee) (Base + Variable Deposit)</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$100.00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 xml:space="preserve">Per Replat </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273</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Subdivision Plat – amendments (Base Fee) (Base + Variable Deposit)</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$100.00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 xml:space="preserve">Per Amendment </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274</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Subdivision Minor Plats (Base Fee) (Base + Variable Deposit)</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$50.00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Minor Plat</w:t>
            </w:r>
          </w:p>
        </w:tc>
      </w:tr>
      <w:tr w:rsidR="003F2977" w:rsidRPr="002244C7" w:rsidTr="004D0603">
        <w:trPr>
          <w:trHeight w:val="311"/>
        </w:trPr>
        <w:tc>
          <w:tcPr>
            <w:tcW w:w="823"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275</w:t>
            </w:r>
          </w:p>
        </w:tc>
        <w:tc>
          <w:tcPr>
            <w:tcW w:w="540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Deposit for Variable Fees*</w:t>
            </w:r>
          </w:p>
        </w:tc>
        <w:tc>
          <w:tcPr>
            <w:tcW w:w="1170" w:type="dxa"/>
          </w:tcPr>
          <w:p w:rsidR="003F2977" w:rsidRPr="002244C7" w:rsidRDefault="003F2977" w:rsidP="00446372">
            <w:pPr>
              <w:pStyle w:val="Default"/>
              <w:jc w:val="right"/>
              <w:rPr>
                <w:rFonts w:asciiTheme="minorHAnsi" w:hAnsiTheme="minorHAnsi"/>
                <w:sz w:val="20"/>
                <w:szCs w:val="20"/>
              </w:rPr>
            </w:pPr>
            <w:r w:rsidRPr="002244C7">
              <w:rPr>
                <w:rFonts w:asciiTheme="minorHAnsi" w:hAnsiTheme="minorHAnsi"/>
                <w:sz w:val="20"/>
                <w:szCs w:val="20"/>
              </w:rPr>
              <w:t>$200.00</w:t>
            </w:r>
          </w:p>
        </w:tc>
        <w:tc>
          <w:tcPr>
            <w:tcW w:w="2070" w:type="dxa"/>
          </w:tcPr>
          <w:p w:rsidR="003F2977" w:rsidRPr="002244C7" w:rsidRDefault="003F2977" w:rsidP="00446372">
            <w:pPr>
              <w:pStyle w:val="Default"/>
              <w:rPr>
                <w:rFonts w:asciiTheme="minorHAnsi" w:hAnsiTheme="minorHAnsi"/>
                <w:sz w:val="20"/>
                <w:szCs w:val="20"/>
              </w:rPr>
            </w:pPr>
            <w:r w:rsidRPr="002244C7">
              <w:rPr>
                <w:rFonts w:asciiTheme="minorHAnsi" w:hAnsiTheme="minorHAnsi"/>
                <w:sz w:val="20"/>
                <w:szCs w:val="20"/>
              </w:rPr>
              <w:t>Per Application</w:t>
            </w:r>
          </w:p>
        </w:tc>
      </w:tr>
    </w:tbl>
    <w:p w:rsidR="003F2977" w:rsidRDefault="003F2977"/>
    <w:p w:rsidR="003F2977" w:rsidRDefault="003F2977" w:rsidP="003F2977">
      <w:r>
        <w:t>* (Variable costs include the costs such as advertising, mailing notices, sign manufacturing and posting and etc...) Unused deposit will be returned to petitioner once the final decision is rendered. If variable costs exceed the deposit amount the difference is required to be paid in full prior to issuance of the permit or other required document.</w:t>
      </w:r>
    </w:p>
    <w:p w:rsidR="003F2977" w:rsidRDefault="003F2977"/>
    <w:sectPr w:rsidR="003F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77"/>
    <w:rsid w:val="003F2977"/>
    <w:rsid w:val="004D0603"/>
    <w:rsid w:val="007B1D19"/>
    <w:rsid w:val="009B57B0"/>
    <w:rsid w:val="00A7470C"/>
    <w:rsid w:val="00F2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A7AC9-823E-4DCE-AA8F-E6B68EBC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06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0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29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D06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D06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ENTCMPSSVR</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TEX-Hallford, Adra</dc:creator>
  <cp:lastModifiedBy>TEX-Watkins, Shawna</cp:lastModifiedBy>
  <cp:revision>2</cp:revision>
  <cp:lastPrinted>2014-10-06T20:58:00Z</cp:lastPrinted>
  <dcterms:created xsi:type="dcterms:W3CDTF">2015-04-15T14:22:00Z</dcterms:created>
  <dcterms:modified xsi:type="dcterms:W3CDTF">2015-04-15T14:22:00Z</dcterms:modified>
</cp:coreProperties>
</file>